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afterLines="50" w:after="146"/>
        <w:jc w:val="center"/>
        <w:rPr>
          <w:rFonts w:ascii="方正小标宋简体" w:eastAsia="方正小标宋简体"/>
          <w:sz w:val="32"/>
          <w:szCs w:val="32"/>
        </w:rPr>
      </w:pPr>
      <w:bookmarkStart w:id="0" w:name="_GoBack"/>
      <w:bookmarkEnd w:id="0"/>
      <w:r>
        <w:rPr>
          <w:rFonts w:ascii="方正小标宋简体" w:eastAsia="方正小标宋简体" w:hint="eastAsia"/>
          <w:sz w:val="32"/>
          <w:szCs w:val="32"/>
        </w:rPr>
        <w:t>进境非食用动物产品风险级别及检验检疫监管措施清单</w:t>
      </w:r>
    </w:p>
    <w:p>
      <w:pPr>
        <w:spacing w:afterLines="50" w:after="146"/>
        <w:jc w:val="center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(2017年11月17日更新)</w:t>
      </w:r>
    </w:p>
    <w:tbl>
      <w:tblPr>
        <w:jc w:val="center"/>
        <w:tblW w:w="137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2"/>
        <w:gridCol w:w="4632"/>
        <w:gridCol w:w="1452"/>
        <w:gridCol w:w="5942"/>
      </w:tblGrid>
      <w:tr>
        <w:trPr>
          <w:tblHeader/>
        </w:trPr>
        <w:tc>
          <w:tcPr>
            <w:tcW w:w="1752" w:type="dxa"/>
            <w:vAlign w:val="center"/>
          </w:tcPr>
          <w:p>
            <w:pPr>
              <w:spacing w:line="300" w:lineRule="exact"/>
              <w:jc w:val="center"/>
              <w:rPr>
                <w:rFonts w:ascii="方正黑体简体" w:eastAsia="方正黑体简体"/>
                <w:b/>
                <w:sz w:val="24"/>
              </w:rPr>
            </w:pPr>
            <w:r>
              <w:rPr>
                <w:rFonts w:ascii="方正黑体简体" w:eastAsia="方正黑体简体" w:hint="eastAsia"/>
                <w:b/>
                <w:sz w:val="24"/>
              </w:rPr>
              <w:t>类别</w:t>
            </w:r>
          </w:p>
        </w:tc>
        <w:tc>
          <w:tcPr>
            <w:tcW w:w="4632" w:type="dxa"/>
            <w:vAlign w:val="center"/>
          </w:tcPr>
          <w:p>
            <w:pPr>
              <w:spacing w:line="300" w:lineRule="exact"/>
              <w:jc w:val="center"/>
              <w:rPr>
                <w:rFonts w:ascii="方正黑体简体" w:eastAsia="方正黑体简体"/>
                <w:b/>
                <w:sz w:val="24"/>
              </w:rPr>
            </w:pPr>
            <w:r>
              <w:rPr>
                <w:rFonts w:ascii="方正黑体简体" w:eastAsia="方正黑体简体" w:hint="eastAsia"/>
                <w:b/>
                <w:sz w:val="24"/>
              </w:rPr>
              <w:t>产品</w:t>
            </w:r>
          </w:p>
        </w:tc>
        <w:tc>
          <w:tcPr>
            <w:tcW w:w="1452" w:type="dxa"/>
            <w:vAlign w:val="center"/>
          </w:tcPr>
          <w:p>
            <w:pPr>
              <w:spacing w:line="300" w:lineRule="exact"/>
              <w:ind w:firstLineChars="50" w:firstLine="111"/>
              <w:jc w:val="center"/>
              <w:rPr>
                <w:rFonts w:ascii="方正黑体简体" w:eastAsia="方正黑体简体"/>
                <w:b/>
                <w:sz w:val="24"/>
              </w:rPr>
            </w:pPr>
            <w:r>
              <w:rPr>
                <w:rFonts w:ascii="方正黑体简体" w:eastAsia="方正黑体简体" w:hint="eastAsia"/>
                <w:b/>
                <w:sz w:val="24"/>
              </w:rPr>
              <w:t>风险级别</w:t>
            </w:r>
          </w:p>
        </w:tc>
        <w:tc>
          <w:tcPr>
            <w:tcW w:w="5942" w:type="dxa"/>
            <w:vAlign w:val="center"/>
          </w:tcPr>
          <w:p>
            <w:pPr>
              <w:spacing w:line="300" w:lineRule="exact"/>
              <w:ind w:firstLineChars="50" w:firstLine="121"/>
              <w:jc w:val="center"/>
              <w:rPr>
                <w:rFonts w:ascii="方正黑体简体" w:eastAsia="方正黑体简体"/>
                <w:b/>
                <w:spacing w:val="10"/>
                <w:sz w:val="24"/>
              </w:rPr>
            </w:pPr>
            <w:r>
              <w:rPr>
                <w:rFonts w:ascii="方正黑体简体" w:eastAsia="方正黑体简体" w:hint="eastAsia"/>
                <w:b/>
                <w:spacing w:val="10"/>
                <w:sz w:val="24"/>
              </w:rPr>
              <w:t>检验检疫监管措施</w:t>
            </w:r>
          </w:p>
        </w:tc>
      </w:tr>
      <w:tr>
        <w:tc>
          <w:tcPr>
            <w:tcW w:w="1752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皮张</w:t>
            </w:r>
          </w:p>
        </w:tc>
        <w:tc>
          <w:tcPr>
            <w:tcW w:w="4632" w:type="dxa"/>
            <w:vAlign w:val="center"/>
          </w:tcPr>
          <w:p>
            <w:pPr>
              <w:spacing w:line="30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原皮</w:t>
            </w:r>
            <w:r>
              <w:rPr>
                <w:rFonts w:ascii="方正仿宋简体" w:eastAsia="方正仿宋简体"/>
                <w:sz w:val="24"/>
              </w:rPr>
              <w:t>(</w:t>
            </w:r>
            <w:r>
              <w:rPr>
                <w:rFonts w:ascii="方正仿宋简体" w:eastAsia="方正仿宋简体" w:hint="eastAsia"/>
                <w:sz w:val="24"/>
              </w:rPr>
              <w:t>鲜、干、盐湿、盐渍、盐干皮张，不含两栖、爬行类动物</w:t>
            </w:r>
            <w:r>
              <w:rPr>
                <w:rFonts w:ascii="方正仿宋简体" w:eastAsia="方正仿宋简体"/>
                <w:sz w:val="24"/>
              </w:rPr>
              <w:t>)</w:t>
            </w:r>
          </w:p>
        </w:tc>
        <w:tc>
          <w:tcPr>
            <w:tcW w:w="1452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/>
                <w:sz w:val="24"/>
              </w:rPr>
              <w:t>I</w:t>
            </w:r>
            <w:r>
              <w:rPr>
                <w:rFonts w:ascii="方正仿宋简体" w:eastAsia="方正仿宋简体" w:hint="eastAsia"/>
                <w:sz w:val="24"/>
              </w:rPr>
              <w:t>级</w:t>
            </w:r>
          </w:p>
        </w:tc>
        <w:tc>
          <w:tcPr>
            <w:tcW w:w="5942" w:type="dxa"/>
            <w:vAlign w:val="center"/>
          </w:tcPr>
          <w:p>
            <w:pPr>
              <w:spacing w:line="28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输出国家或地区监管体系评估，境外生产加工存放企业注册登记；进境前须办理《进境动植物检疫许可证》；进境时查验检疫证书并实施检验检疫；进境后在指定企业存放、加工并接受检验检疫监督。</w:t>
            </w:r>
          </w:p>
        </w:tc>
      </w:tr>
      <w:tr>
        <w:tc>
          <w:tcPr>
            <w:tcW w:w="1752" w:type="dxa"/>
            <w:vMerge/>
            <w:vAlign w:val="center"/>
          </w:tcPr>
          <w:p/>
        </w:tc>
        <w:tc>
          <w:tcPr>
            <w:tcW w:w="4632" w:type="dxa"/>
            <w:vAlign w:val="center"/>
          </w:tcPr>
          <w:p>
            <w:pPr>
              <w:spacing w:line="30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两栖和爬行类动物原皮，灰皮（</w:t>
            </w:r>
            <w:r>
              <w:rPr>
                <w:rFonts w:ascii="方正仿宋简体" w:eastAsia="方正仿宋简体"/>
                <w:sz w:val="24"/>
              </w:rPr>
              <w:t>PH</w:t>
            </w:r>
            <w:r>
              <w:rPr>
                <w:rFonts w:ascii="方正仿宋简体" w:eastAsia="方正仿宋简体" w:hint="eastAsia"/>
                <w:sz w:val="24"/>
              </w:rPr>
              <w:t>值不低于</w:t>
            </w:r>
            <w:r>
              <w:rPr>
                <w:rFonts w:ascii="方正仿宋简体" w:eastAsia="方正仿宋简体"/>
                <w:sz w:val="24"/>
              </w:rPr>
              <w:t>14</w:t>
            </w:r>
            <w:r>
              <w:rPr>
                <w:rFonts w:ascii="方正仿宋简体" w:eastAsia="方正仿宋简体" w:hint="eastAsia"/>
                <w:sz w:val="24"/>
              </w:rPr>
              <w:t>的环境中处理至少</w:t>
            </w:r>
            <w:r>
              <w:rPr>
                <w:rFonts w:ascii="方正仿宋简体" w:eastAsia="方正仿宋简体"/>
                <w:sz w:val="24"/>
              </w:rPr>
              <w:t>2</w:t>
            </w:r>
            <w:r>
              <w:rPr>
                <w:rFonts w:ascii="方正仿宋简体" w:eastAsia="方正仿宋简体" w:hint="eastAsia"/>
                <w:sz w:val="24"/>
              </w:rPr>
              <w:t>小时）、浸酸皮（</w:t>
            </w:r>
            <w:r>
              <w:rPr>
                <w:rFonts w:ascii="方正仿宋简体" w:eastAsia="方正仿宋简体"/>
                <w:sz w:val="24"/>
              </w:rPr>
              <w:t>PH</w:t>
            </w:r>
            <w:r>
              <w:rPr>
                <w:rFonts w:ascii="方正仿宋简体" w:eastAsia="方正仿宋简体" w:hint="eastAsia"/>
                <w:sz w:val="24"/>
              </w:rPr>
              <w:t>值不高于</w:t>
            </w:r>
            <w:r>
              <w:rPr>
                <w:rFonts w:ascii="方正仿宋简体" w:eastAsia="方正仿宋简体"/>
                <w:sz w:val="24"/>
              </w:rPr>
              <w:t>2</w:t>
            </w:r>
            <w:r>
              <w:rPr>
                <w:rFonts w:ascii="方正仿宋简体" w:eastAsia="方正仿宋简体" w:hint="eastAsia"/>
                <w:sz w:val="24"/>
              </w:rPr>
              <w:t>的环境中处理至少</w:t>
            </w:r>
            <w:r>
              <w:rPr>
                <w:rFonts w:ascii="方正仿宋简体" w:eastAsia="方正仿宋简体"/>
                <w:sz w:val="24"/>
              </w:rPr>
              <w:t>1</w:t>
            </w:r>
            <w:r>
              <w:rPr>
                <w:rFonts w:ascii="方正仿宋简体" w:eastAsia="方正仿宋简体" w:hint="eastAsia"/>
                <w:sz w:val="24"/>
              </w:rPr>
              <w:t>小时）和其他等效方法加工处理的未经鞣制的动物皮张</w:t>
            </w:r>
          </w:p>
        </w:tc>
        <w:tc>
          <w:tcPr>
            <w:tcW w:w="1452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/>
                <w:sz w:val="24"/>
              </w:rPr>
              <w:t>II</w:t>
            </w:r>
            <w:r>
              <w:rPr>
                <w:rFonts w:ascii="方正仿宋简体" w:eastAsia="方正仿宋简体" w:hint="eastAsia"/>
                <w:sz w:val="24"/>
              </w:rPr>
              <w:t>级</w:t>
            </w:r>
          </w:p>
        </w:tc>
        <w:tc>
          <w:tcPr>
            <w:tcW w:w="5942" w:type="dxa"/>
            <w:vAlign w:val="center"/>
          </w:tcPr>
          <w:p>
            <w:pPr>
              <w:spacing w:line="28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输出国家或地区监管体系评估，境外生产加工存放企业注册登记；进境前须办理《进境动植物检疫许可证》；进境时查验检疫证书并实施检验检疫。</w:t>
            </w:r>
          </w:p>
        </w:tc>
      </w:tr>
      <w:tr>
        <w:trPr>
          <w:trHeight w:val="427"/>
        </w:trPr>
        <w:tc>
          <w:tcPr>
            <w:tcW w:w="1752" w:type="dxa"/>
            <w:vMerge/>
            <w:vAlign w:val="center"/>
          </w:tcPr>
          <w:p/>
        </w:tc>
        <w:tc>
          <w:tcPr>
            <w:tcW w:w="4632" w:type="dxa"/>
            <w:vAlign w:val="center"/>
          </w:tcPr>
          <w:p>
            <w:pPr>
              <w:widowControl/>
              <w:spacing w:line="30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已鞣制动物皮毛</w:t>
            </w:r>
          </w:p>
        </w:tc>
        <w:tc>
          <w:tcPr>
            <w:tcW w:w="1452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Ⅳ级</w:t>
            </w:r>
          </w:p>
        </w:tc>
        <w:tc>
          <w:tcPr>
            <w:tcW w:w="5942" w:type="dxa"/>
            <w:vAlign w:val="center"/>
          </w:tcPr>
          <w:p>
            <w:pPr>
              <w:spacing w:line="28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进境时实施检验检疫。</w:t>
            </w:r>
          </w:p>
        </w:tc>
      </w:tr>
      <w:tr>
        <w:tc>
          <w:tcPr>
            <w:tcW w:w="1752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毛类和纤维</w:t>
            </w:r>
          </w:p>
        </w:tc>
        <w:tc>
          <w:tcPr>
            <w:tcW w:w="4632" w:type="dxa"/>
            <w:vAlign w:val="center"/>
          </w:tcPr>
          <w:p>
            <w:pPr>
              <w:spacing w:line="28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原毛，原绒，未水洗的羽毛羽绒，未经加工的动物鬃、尾</w:t>
            </w:r>
          </w:p>
        </w:tc>
        <w:tc>
          <w:tcPr>
            <w:tcW w:w="1452" w:type="dxa"/>
            <w:vAlign w:val="center"/>
          </w:tcPr>
          <w:p>
            <w:pPr>
              <w:spacing w:line="28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/>
                <w:sz w:val="24"/>
              </w:rPr>
              <w:t>I</w:t>
            </w:r>
            <w:r>
              <w:rPr>
                <w:rFonts w:ascii="方正仿宋简体" w:eastAsia="方正仿宋简体" w:hint="eastAsia"/>
                <w:sz w:val="24"/>
              </w:rPr>
              <w:t>级</w:t>
            </w:r>
          </w:p>
        </w:tc>
        <w:tc>
          <w:tcPr>
            <w:tcW w:w="5942" w:type="dxa"/>
            <w:vAlign w:val="center"/>
          </w:tcPr>
          <w:p>
            <w:pPr>
              <w:spacing w:line="28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输出国家或地区监管体系评估，境外生产加工存放企业注册登记；进境前须办理《进境动植物检疫许可证》；进境时查验检疫证书并实施检验检疫；进境后在指定企业存放、加工并接受检验检疫监督。</w:t>
            </w:r>
          </w:p>
        </w:tc>
      </w:tr>
      <w:tr>
        <w:tc>
          <w:tcPr>
            <w:tcW w:w="1752" w:type="dxa"/>
            <w:vMerge/>
            <w:vAlign w:val="center"/>
          </w:tcPr>
          <w:p/>
        </w:tc>
        <w:tc>
          <w:tcPr>
            <w:tcW w:w="4632" w:type="dxa"/>
            <w:vAlign w:val="center"/>
          </w:tcPr>
          <w:p>
            <w:pPr>
              <w:spacing w:line="28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洗净毛、绒，水洗羽毛羽绒，水洗马（鬃）尾毛，水煮猪鬃，羊毛落毛</w:t>
            </w:r>
          </w:p>
        </w:tc>
        <w:tc>
          <w:tcPr>
            <w:tcW w:w="1452" w:type="dxa"/>
            <w:vAlign w:val="center"/>
          </w:tcPr>
          <w:p>
            <w:pPr>
              <w:spacing w:line="28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/>
                <w:sz w:val="24"/>
              </w:rPr>
              <w:t>III</w:t>
            </w:r>
            <w:r>
              <w:rPr>
                <w:rFonts w:ascii="方正仿宋简体" w:eastAsia="方正仿宋简体" w:hint="eastAsia"/>
                <w:sz w:val="24"/>
              </w:rPr>
              <w:t>级</w:t>
            </w:r>
          </w:p>
        </w:tc>
        <w:tc>
          <w:tcPr>
            <w:tcW w:w="5942" w:type="dxa"/>
            <w:vAlign w:val="center"/>
          </w:tcPr>
          <w:p>
            <w:pPr>
              <w:spacing w:line="28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输出国家或地区监管体系评估，境外生产加工存放企业注册登记；进境时查验检疫证书并实施检验检疫。</w:t>
            </w:r>
          </w:p>
        </w:tc>
      </w:tr>
      <w:tr>
        <w:tc>
          <w:tcPr>
            <w:tcW w:w="1752" w:type="dxa"/>
            <w:vMerge/>
            <w:vAlign w:val="center"/>
          </w:tcPr>
          <w:p/>
        </w:tc>
        <w:tc>
          <w:tcPr>
            <w:tcW w:w="4632" w:type="dxa"/>
            <w:vAlign w:val="center"/>
          </w:tcPr>
          <w:p>
            <w:pPr>
              <w:spacing w:line="28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已脱脂或染色的装饰羽毛羽绒，炭化毛，已梳毛，毛条；羽毛类掸子；生丝</w:t>
            </w:r>
          </w:p>
        </w:tc>
        <w:tc>
          <w:tcPr>
            <w:tcW w:w="1452" w:type="dxa"/>
            <w:vAlign w:val="center"/>
          </w:tcPr>
          <w:p>
            <w:pPr>
              <w:spacing w:line="28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Ⅳ级</w:t>
            </w:r>
          </w:p>
        </w:tc>
        <w:tc>
          <w:tcPr>
            <w:tcW w:w="5942" w:type="dxa"/>
            <w:vAlign w:val="center"/>
          </w:tcPr>
          <w:p>
            <w:pPr>
              <w:spacing w:line="28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进境时实施检验检疫。</w:t>
            </w:r>
          </w:p>
        </w:tc>
      </w:tr>
      <w:tr>
        <w:tc>
          <w:tcPr>
            <w:tcW w:w="1752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骨蹄角</w:t>
            </w:r>
          </w:p>
        </w:tc>
        <w:tc>
          <w:tcPr>
            <w:tcW w:w="4632" w:type="dxa"/>
            <w:vAlign w:val="center"/>
          </w:tcPr>
          <w:p>
            <w:pPr>
              <w:spacing w:line="28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未经加工或初级加工的有蹄动物、啮齿类动物和禽鸟动物的骨、蹄、角</w:t>
            </w:r>
          </w:p>
        </w:tc>
        <w:tc>
          <w:tcPr>
            <w:tcW w:w="1452" w:type="dxa"/>
            <w:vAlign w:val="center"/>
          </w:tcPr>
          <w:p>
            <w:pPr>
              <w:spacing w:line="28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/>
                <w:sz w:val="24"/>
              </w:rPr>
              <w:t>I</w:t>
            </w:r>
            <w:r>
              <w:rPr>
                <w:rFonts w:ascii="方正仿宋简体" w:eastAsia="方正仿宋简体" w:hint="eastAsia"/>
                <w:sz w:val="24"/>
              </w:rPr>
              <w:t>级</w:t>
            </w:r>
          </w:p>
        </w:tc>
        <w:tc>
          <w:tcPr>
            <w:tcW w:w="5942" w:type="dxa"/>
            <w:vAlign w:val="center"/>
          </w:tcPr>
          <w:p>
            <w:pPr>
              <w:spacing w:line="28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输出国家或地区监管体系评估，境外生产加工存放企业注册登记；进境前须办理《进境动植物检疫许可证》；进境时查验检疫证书并实施检验检疫；进境后在指定企业存放、加工并接受检验检疫监督。</w:t>
            </w:r>
          </w:p>
        </w:tc>
      </w:tr>
      <w:tr>
        <w:tc>
          <w:tcPr>
            <w:tcW w:w="1752" w:type="dxa"/>
            <w:vMerge/>
            <w:vAlign w:val="center"/>
          </w:tcPr>
          <w:p/>
        </w:tc>
        <w:tc>
          <w:tcPr>
            <w:tcW w:w="4632" w:type="dxa"/>
            <w:vAlign w:val="center"/>
          </w:tcPr>
          <w:p>
            <w:pPr>
              <w:spacing w:line="28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象牙、河马牙等动物原牙，脱脂（经不低于</w:t>
            </w:r>
            <w:r>
              <w:rPr>
                <w:rFonts w:ascii="方正仿宋简体" w:eastAsia="方正仿宋简体"/>
                <w:sz w:val="24"/>
              </w:rPr>
              <w:t>80</w:t>
            </w:r>
            <w:r>
              <w:rPr>
                <w:rFonts w:ascii="方正仿宋简体" w:eastAsia="方正仿宋简体" w:hint="eastAsia"/>
                <w:sz w:val="24"/>
              </w:rPr>
              <w:t>℃至少</w:t>
            </w:r>
            <w:r>
              <w:rPr>
                <w:rFonts w:ascii="方正仿宋简体" w:eastAsia="方正仿宋简体"/>
                <w:sz w:val="24"/>
              </w:rPr>
              <w:t>30</w:t>
            </w:r>
            <w:r>
              <w:rPr>
                <w:rFonts w:ascii="方正仿宋简体" w:eastAsia="方正仿宋简体" w:hint="eastAsia"/>
                <w:sz w:val="24"/>
              </w:rPr>
              <w:t>分钟处理）哺乳动物、禽鸟类的骨块、粒</w:t>
            </w:r>
          </w:p>
        </w:tc>
        <w:tc>
          <w:tcPr>
            <w:tcW w:w="1452" w:type="dxa"/>
            <w:vAlign w:val="center"/>
          </w:tcPr>
          <w:p>
            <w:pPr>
              <w:spacing w:line="28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/>
                <w:sz w:val="24"/>
              </w:rPr>
              <w:t>II</w:t>
            </w:r>
            <w:r>
              <w:rPr>
                <w:rFonts w:ascii="方正仿宋简体" w:eastAsia="方正仿宋简体" w:hint="eastAsia"/>
                <w:sz w:val="24"/>
              </w:rPr>
              <w:t>级</w:t>
            </w:r>
          </w:p>
        </w:tc>
        <w:tc>
          <w:tcPr>
            <w:tcW w:w="5942" w:type="dxa"/>
            <w:vAlign w:val="center"/>
          </w:tcPr>
          <w:p>
            <w:pPr>
              <w:spacing w:line="28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输出国家或地区监管体系评估，境外生产加工存放企业注册登记；进境前须办理《进境动植物检疫许可证》；进境时查验检疫证书并实施检验检疫。</w:t>
            </w:r>
          </w:p>
        </w:tc>
      </w:tr>
      <w:tr>
        <w:tc>
          <w:tcPr>
            <w:tcW w:w="1752" w:type="dxa"/>
            <w:vMerge/>
            <w:vAlign w:val="center"/>
          </w:tcPr>
          <w:p/>
        </w:tc>
        <w:tc>
          <w:tcPr>
            <w:tcW w:w="4632" w:type="dxa"/>
            <w:vAlign w:val="center"/>
          </w:tcPr>
          <w:p>
            <w:pPr>
              <w:spacing w:line="28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两栖和爬行动物的骨、壳、角、鳞，骨炭，骨油和深加工（不低于</w:t>
            </w:r>
            <w:r>
              <w:rPr>
                <w:rFonts w:ascii="方正仿宋简体" w:eastAsia="方正仿宋简体"/>
                <w:sz w:val="24"/>
              </w:rPr>
              <w:t>80</w:t>
            </w:r>
            <w:r>
              <w:rPr>
                <w:rFonts w:ascii="方正仿宋简体" w:eastAsia="方正仿宋简体" w:hint="eastAsia"/>
                <w:sz w:val="24"/>
              </w:rPr>
              <w:t>℃至少</w:t>
            </w:r>
            <w:r>
              <w:rPr>
                <w:rFonts w:ascii="方正仿宋简体" w:eastAsia="方正仿宋简体"/>
                <w:sz w:val="24"/>
              </w:rPr>
              <w:t>30</w:t>
            </w:r>
            <w:r>
              <w:rPr>
                <w:rFonts w:ascii="方正仿宋简体" w:eastAsia="方正仿宋简体" w:hint="eastAsia"/>
                <w:sz w:val="24"/>
              </w:rPr>
              <w:t>分钟或等效方法加工处理）的动物骨、蹄、角</w:t>
            </w:r>
          </w:p>
        </w:tc>
        <w:tc>
          <w:tcPr>
            <w:tcW w:w="1452" w:type="dxa"/>
            <w:vAlign w:val="center"/>
          </w:tcPr>
          <w:p>
            <w:pPr>
              <w:spacing w:line="28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/>
                <w:sz w:val="24"/>
              </w:rPr>
              <w:t>III</w:t>
            </w:r>
            <w:r>
              <w:rPr>
                <w:rFonts w:ascii="方正仿宋简体" w:eastAsia="方正仿宋简体" w:hint="eastAsia"/>
                <w:sz w:val="24"/>
              </w:rPr>
              <w:t>级</w:t>
            </w:r>
          </w:p>
        </w:tc>
        <w:tc>
          <w:tcPr>
            <w:tcW w:w="5942" w:type="dxa"/>
            <w:vAlign w:val="center"/>
          </w:tcPr>
          <w:p>
            <w:pPr>
              <w:spacing w:line="28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输出国家或地区监管体系评估，境外生产加工存放企业注册登记；进境时查验检疫证书并实施检验检疫。</w:t>
            </w:r>
          </w:p>
        </w:tc>
      </w:tr>
      <w:tr>
        <w:trPr>
          <w:trHeight w:val="382"/>
        </w:trPr>
        <w:tc>
          <w:tcPr>
            <w:tcW w:w="1752" w:type="dxa"/>
            <w:vMerge/>
            <w:vAlign w:val="center"/>
          </w:tcPr>
          <w:p/>
        </w:tc>
        <w:tc>
          <w:tcPr>
            <w:tcW w:w="4632" w:type="dxa"/>
            <w:vAlign w:val="center"/>
          </w:tcPr>
          <w:p>
            <w:pPr>
              <w:spacing w:line="28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猛犸牙等化石类动物骨、蹄、角、牙；经深加工处理的动物骨蹄角牙制成的文化艺术品；用动物角加工而成的研磨钵、茶叶勺、梳子、鞋拔等动物角制品</w:t>
            </w:r>
          </w:p>
        </w:tc>
        <w:tc>
          <w:tcPr>
            <w:tcW w:w="1452" w:type="dxa"/>
            <w:vAlign w:val="center"/>
          </w:tcPr>
          <w:p>
            <w:pPr>
              <w:spacing w:line="28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Ⅳ级</w:t>
            </w:r>
          </w:p>
        </w:tc>
        <w:tc>
          <w:tcPr>
            <w:tcW w:w="5942" w:type="dxa"/>
            <w:vAlign w:val="center"/>
          </w:tcPr>
          <w:p>
            <w:pPr>
              <w:spacing w:line="28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进境时实施检验检疫。</w:t>
            </w:r>
          </w:p>
        </w:tc>
      </w:tr>
      <w:tr>
        <w:tc>
          <w:tcPr>
            <w:tcW w:w="1752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油脂</w:t>
            </w:r>
          </w:p>
        </w:tc>
        <w:tc>
          <w:tcPr>
            <w:tcW w:w="4632" w:type="dxa"/>
            <w:vAlign w:val="center"/>
          </w:tcPr>
          <w:p>
            <w:pPr>
              <w:spacing w:line="28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未经加工的动物（不含两栖和爬行动物）脂肪组织及其冷榨油脂，非</w:t>
            </w:r>
            <w:r>
              <w:rPr>
                <w:rFonts w:ascii="方正仿宋简体" w:eastAsia="方正仿宋简体"/>
                <w:sz w:val="24"/>
              </w:rPr>
              <w:t>BSE</w:t>
            </w:r>
            <w:r>
              <w:rPr>
                <w:rFonts w:ascii="方正仿宋简体" w:eastAsia="方正仿宋简体" w:hint="eastAsia"/>
                <w:sz w:val="24"/>
              </w:rPr>
              <w:t>风险可忽略国家或地区的高温炼制反刍动物油脂</w:t>
            </w:r>
          </w:p>
        </w:tc>
        <w:tc>
          <w:tcPr>
            <w:tcW w:w="1452" w:type="dxa"/>
            <w:vAlign w:val="center"/>
          </w:tcPr>
          <w:p>
            <w:pPr>
              <w:spacing w:line="28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/>
                <w:sz w:val="24"/>
              </w:rPr>
              <w:t>I</w:t>
            </w:r>
            <w:r>
              <w:rPr>
                <w:rFonts w:ascii="方正仿宋简体" w:eastAsia="方正仿宋简体" w:hint="eastAsia"/>
                <w:sz w:val="24"/>
              </w:rPr>
              <w:t>级</w:t>
            </w:r>
          </w:p>
        </w:tc>
        <w:tc>
          <w:tcPr>
            <w:tcW w:w="5942" w:type="dxa"/>
            <w:vAlign w:val="center"/>
          </w:tcPr>
          <w:p>
            <w:pPr>
              <w:spacing w:line="28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输出国家或地区监管体系评估，境外生产加工存放企业注册登记；进境前须办理《进境动植物检疫许可证》；进境时查验检疫证书并实施检验检疫；进境后在指定企业存放、加工并接受检验检疫监督。</w:t>
            </w:r>
          </w:p>
        </w:tc>
      </w:tr>
      <w:tr>
        <w:tc>
          <w:tcPr>
            <w:tcW w:w="1752" w:type="dxa"/>
            <w:vMerge/>
            <w:vAlign w:val="center"/>
          </w:tcPr>
          <w:p/>
        </w:tc>
        <w:tc>
          <w:tcPr>
            <w:tcW w:w="4632" w:type="dxa"/>
            <w:vAlign w:val="center"/>
          </w:tcPr>
          <w:p>
            <w:pPr>
              <w:spacing w:line="28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羊毛脂</w:t>
            </w:r>
          </w:p>
        </w:tc>
        <w:tc>
          <w:tcPr>
            <w:tcW w:w="1452" w:type="dxa"/>
            <w:vAlign w:val="center"/>
          </w:tcPr>
          <w:p>
            <w:pPr>
              <w:spacing w:line="28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/>
                <w:sz w:val="24"/>
              </w:rPr>
              <w:t>II</w:t>
            </w:r>
            <w:r>
              <w:rPr>
                <w:rFonts w:ascii="方正仿宋简体" w:eastAsia="方正仿宋简体" w:hint="eastAsia"/>
                <w:sz w:val="24"/>
              </w:rPr>
              <w:t>级</w:t>
            </w:r>
          </w:p>
        </w:tc>
        <w:tc>
          <w:tcPr>
            <w:tcW w:w="5942" w:type="dxa"/>
            <w:vAlign w:val="center"/>
          </w:tcPr>
          <w:p>
            <w:pPr>
              <w:spacing w:line="28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输出国家或地区监管体系评估，境外生产加工存放企业注册登记；进境前须办理《进境动植物检疫许可证》；进境时查验检疫证书并实施检验检疫。</w:t>
            </w:r>
          </w:p>
        </w:tc>
      </w:tr>
      <w:tr>
        <w:tc>
          <w:tcPr>
            <w:tcW w:w="1752" w:type="dxa"/>
            <w:vMerge/>
            <w:vAlign w:val="center"/>
          </w:tcPr>
          <w:p/>
        </w:tc>
        <w:tc>
          <w:tcPr>
            <w:tcW w:w="4632" w:type="dxa"/>
            <w:vAlign w:val="center"/>
          </w:tcPr>
          <w:p>
            <w:pPr>
              <w:spacing w:line="28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高温（不低于</w:t>
            </w:r>
            <w:r>
              <w:rPr>
                <w:rFonts w:ascii="方正仿宋简体" w:eastAsia="方正仿宋简体"/>
                <w:sz w:val="24"/>
              </w:rPr>
              <w:t>80</w:t>
            </w:r>
            <w:r>
              <w:rPr>
                <w:rFonts w:ascii="方正仿宋简体" w:eastAsia="方正仿宋简体" w:hint="eastAsia"/>
                <w:sz w:val="24"/>
              </w:rPr>
              <w:t>℃至少</w:t>
            </w:r>
            <w:r>
              <w:rPr>
                <w:rFonts w:ascii="方正仿宋简体" w:eastAsia="方正仿宋简体"/>
                <w:sz w:val="24"/>
              </w:rPr>
              <w:t>30</w:t>
            </w:r>
            <w:r>
              <w:rPr>
                <w:rFonts w:ascii="方正仿宋简体" w:eastAsia="方正仿宋简体" w:hint="eastAsia"/>
                <w:sz w:val="24"/>
              </w:rPr>
              <w:t>分钟）炼制的动物油脂，两栖类和爬行类动物油脂</w:t>
            </w:r>
          </w:p>
        </w:tc>
        <w:tc>
          <w:tcPr>
            <w:tcW w:w="1452" w:type="dxa"/>
            <w:vAlign w:val="center"/>
          </w:tcPr>
          <w:p>
            <w:pPr>
              <w:spacing w:line="28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/>
                <w:sz w:val="24"/>
              </w:rPr>
              <w:t>III</w:t>
            </w:r>
            <w:r>
              <w:rPr>
                <w:rFonts w:ascii="方正仿宋简体" w:eastAsia="方正仿宋简体" w:hint="eastAsia"/>
                <w:sz w:val="24"/>
              </w:rPr>
              <w:t>级</w:t>
            </w:r>
          </w:p>
        </w:tc>
        <w:tc>
          <w:tcPr>
            <w:tcW w:w="5942" w:type="dxa"/>
            <w:vAlign w:val="center"/>
          </w:tcPr>
          <w:p>
            <w:pPr>
              <w:spacing w:line="28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输出国家或地区监管体系评估，境外生产加工存放企业注册登记；进境时查验检疫证书并实施检验检疫。</w:t>
            </w:r>
          </w:p>
        </w:tc>
      </w:tr>
      <w:tr>
        <w:tc>
          <w:tcPr>
            <w:tcW w:w="1752" w:type="dxa"/>
            <w:vMerge/>
            <w:vAlign w:val="center"/>
          </w:tcPr>
          <w:p/>
        </w:tc>
        <w:tc>
          <w:tcPr>
            <w:tcW w:w="4632" w:type="dxa"/>
            <w:vAlign w:val="center"/>
          </w:tcPr>
          <w:p>
            <w:pPr>
              <w:spacing w:line="28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高温（不低于</w:t>
            </w:r>
            <w:r>
              <w:rPr>
                <w:rFonts w:ascii="方正仿宋简体" w:eastAsia="方正仿宋简体"/>
                <w:sz w:val="24"/>
              </w:rPr>
              <w:t>80</w:t>
            </w:r>
            <w:r>
              <w:rPr>
                <w:rFonts w:ascii="方正仿宋简体" w:eastAsia="方正仿宋简体" w:hint="eastAsia"/>
                <w:sz w:val="24"/>
              </w:rPr>
              <w:t>℃至少</w:t>
            </w:r>
            <w:r>
              <w:rPr>
                <w:rFonts w:ascii="方正仿宋简体" w:eastAsia="方正仿宋简体"/>
                <w:sz w:val="24"/>
              </w:rPr>
              <w:t>30</w:t>
            </w:r>
            <w:r>
              <w:rPr>
                <w:rFonts w:ascii="方正仿宋简体" w:eastAsia="方正仿宋简体" w:hint="eastAsia"/>
                <w:sz w:val="24"/>
              </w:rPr>
              <w:t>分钟）炼制的两栖类和爬行类动物油脂</w:t>
            </w:r>
          </w:p>
        </w:tc>
        <w:tc>
          <w:tcPr>
            <w:tcW w:w="1452" w:type="dxa"/>
            <w:vAlign w:val="center"/>
          </w:tcPr>
          <w:p>
            <w:pPr>
              <w:spacing w:line="28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Ⅳ级</w:t>
            </w:r>
          </w:p>
        </w:tc>
        <w:tc>
          <w:tcPr>
            <w:tcW w:w="5942" w:type="dxa"/>
            <w:vAlign w:val="center"/>
          </w:tcPr>
          <w:p>
            <w:pPr>
              <w:spacing w:line="28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进境时实施检验检疫。</w:t>
            </w:r>
          </w:p>
        </w:tc>
      </w:tr>
      <w:tr>
        <w:trPr>
          <w:trHeight w:val="430"/>
        </w:trPr>
        <w:tc>
          <w:tcPr>
            <w:tcW w:w="1752" w:type="dxa"/>
            <w:vAlign w:val="center"/>
          </w:tcPr>
          <w:p>
            <w:pPr>
              <w:spacing w:line="28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动物标本</w:t>
            </w:r>
          </w:p>
        </w:tc>
        <w:tc>
          <w:tcPr>
            <w:tcW w:w="4632" w:type="dxa"/>
            <w:vAlign w:val="center"/>
          </w:tcPr>
          <w:p>
            <w:pPr>
              <w:spacing w:line="28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经防腐处理动物标本</w:t>
            </w:r>
          </w:p>
        </w:tc>
        <w:tc>
          <w:tcPr>
            <w:tcW w:w="1452" w:type="dxa"/>
            <w:vAlign w:val="center"/>
          </w:tcPr>
          <w:p>
            <w:pPr>
              <w:spacing w:line="28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Ⅳ级</w:t>
            </w:r>
          </w:p>
        </w:tc>
        <w:tc>
          <w:tcPr>
            <w:tcW w:w="5942" w:type="dxa"/>
            <w:vAlign w:val="center"/>
          </w:tcPr>
          <w:p>
            <w:pPr>
              <w:spacing w:line="28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进境时实施检验检疫。</w:t>
            </w:r>
          </w:p>
        </w:tc>
      </w:tr>
      <w:tr>
        <w:tc>
          <w:tcPr>
            <w:tcW w:w="1752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蚕产品</w:t>
            </w:r>
          </w:p>
        </w:tc>
        <w:tc>
          <w:tcPr>
            <w:tcW w:w="4632" w:type="dxa"/>
            <w:vAlign w:val="center"/>
          </w:tcPr>
          <w:p>
            <w:pPr>
              <w:spacing w:line="28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未经加工的蚕茧、蚕蛹、削口茧，长吐，滞头</w:t>
            </w:r>
          </w:p>
        </w:tc>
        <w:tc>
          <w:tcPr>
            <w:tcW w:w="1452" w:type="dxa"/>
            <w:vAlign w:val="center"/>
          </w:tcPr>
          <w:p>
            <w:pPr>
              <w:spacing w:line="28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/>
                <w:sz w:val="24"/>
              </w:rPr>
              <w:t>I</w:t>
            </w:r>
            <w:r>
              <w:rPr>
                <w:rFonts w:ascii="方正仿宋简体" w:eastAsia="方正仿宋简体" w:hint="eastAsia"/>
                <w:sz w:val="24"/>
              </w:rPr>
              <w:t>级</w:t>
            </w:r>
          </w:p>
        </w:tc>
        <w:tc>
          <w:tcPr>
            <w:tcW w:w="5942" w:type="dxa"/>
            <w:vAlign w:val="center"/>
          </w:tcPr>
          <w:p>
            <w:pPr>
              <w:spacing w:line="28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输出国家或地区监管体系评估，境外生产加工存放企业注册登记；进境前须办理《进境动植物检疫许可证》；进境时查验检疫证书并实施检验检疫；进境后在指定企业存放、加工并接受检验检疫监督。</w:t>
            </w:r>
          </w:p>
        </w:tc>
      </w:tr>
      <w:tr>
        <w:tc>
          <w:tcPr>
            <w:tcW w:w="1752" w:type="dxa"/>
            <w:vMerge/>
            <w:vAlign w:val="center"/>
          </w:tcPr>
          <w:p/>
        </w:tc>
        <w:tc>
          <w:tcPr>
            <w:tcW w:w="4632" w:type="dxa"/>
            <w:vAlign w:val="center"/>
          </w:tcPr>
          <w:p>
            <w:pPr>
              <w:spacing w:line="28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落绵</w:t>
            </w:r>
          </w:p>
        </w:tc>
        <w:tc>
          <w:tcPr>
            <w:tcW w:w="1452" w:type="dxa"/>
            <w:vAlign w:val="center"/>
          </w:tcPr>
          <w:p>
            <w:pPr>
              <w:spacing w:line="28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/>
                <w:sz w:val="24"/>
              </w:rPr>
              <w:t>III</w:t>
            </w:r>
            <w:r>
              <w:rPr>
                <w:rFonts w:ascii="方正仿宋简体" w:eastAsia="方正仿宋简体" w:hint="eastAsia"/>
                <w:sz w:val="24"/>
              </w:rPr>
              <w:t>级</w:t>
            </w:r>
          </w:p>
        </w:tc>
        <w:tc>
          <w:tcPr>
            <w:tcW w:w="5942" w:type="dxa"/>
            <w:vAlign w:val="center"/>
          </w:tcPr>
          <w:p>
            <w:pPr>
              <w:spacing w:line="28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输出国家或地区监管体系评估；进境时查验检疫证书并实施检验检疫</w:t>
            </w:r>
          </w:p>
        </w:tc>
      </w:tr>
      <w:tr>
        <w:tc>
          <w:tcPr>
            <w:tcW w:w="1752" w:type="dxa"/>
            <w:vMerge/>
            <w:vAlign w:val="center"/>
          </w:tcPr>
          <w:p/>
        </w:tc>
        <w:tc>
          <w:tcPr>
            <w:tcW w:w="4632" w:type="dxa"/>
            <w:vAlign w:val="center"/>
          </w:tcPr>
          <w:p>
            <w:pPr>
              <w:spacing w:line="28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生丝</w:t>
            </w:r>
          </w:p>
        </w:tc>
        <w:tc>
          <w:tcPr>
            <w:tcW w:w="1452" w:type="dxa"/>
            <w:vAlign w:val="center"/>
          </w:tcPr>
          <w:p>
            <w:pPr>
              <w:spacing w:line="28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Ⅳ级</w:t>
            </w:r>
          </w:p>
        </w:tc>
        <w:tc>
          <w:tcPr>
            <w:tcW w:w="5942" w:type="dxa"/>
            <w:vAlign w:val="center"/>
          </w:tcPr>
          <w:p>
            <w:pPr>
              <w:spacing w:line="28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进境时实施检验检疫。</w:t>
            </w:r>
          </w:p>
        </w:tc>
      </w:tr>
      <w:tr>
        <w:tc>
          <w:tcPr>
            <w:tcW w:w="1752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蜂产品</w:t>
            </w:r>
          </w:p>
        </w:tc>
        <w:tc>
          <w:tcPr>
            <w:tcW w:w="4632" w:type="dxa"/>
            <w:vAlign w:val="center"/>
          </w:tcPr>
          <w:p>
            <w:pPr>
              <w:spacing w:line="28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未经加工的蜂巢、蜂蜡、蜂胶</w:t>
            </w:r>
          </w:p>
        </w:tc>
        <w:tc>
          <w:tcPr>
            <w:tcW w:w="1452" w:type="dxa"/>
            <w:vAlign w:val="center"/>
          </w:tcPr>
          <w:p>
            <w:pPr>
              <w:spacing w:line="28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/>
                <w:sz w:val="24"/>
              </w:rPr>
              <w:t>II</w:t>
            </w:r>
            <w:r>
              <w:rPr>
                <w:rFonts w:ascii="方正仿宋简体" w:eastAsia="方正仿宋简体" w:hint="eastAsia"/>
                <w:sz w:val="24"/>
              </w:rPr>
              <w:t>级</w:t>
            </w:r>
          </w:p>
        </w:tc>
        <w:tc>
          <w:tcPr>
            <w:tcW w:w="5942" w:type="dxa"/>
            <w:vAlign w:val="center"/>
          </w:tcPr>
          <w:p>
            <w:pPr>
              <w:spacing w:line="28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输出国家或地区监管体系评估，境外生产加工存放企业注册登记；进境前须办理《进境动植物检疫许可证》；进境时查验检疫证书并实施检验检疫。</w:t>
            </w:r>
          </w:p>
        </w:tc>
      </w:tr>
      <w:tr>
        <w:tc>
          <w:tcPr>
            <w:tcW w:w="1752" w:type="dxa"/>
            <w:vMerge/>
            <w:vAlign w:val="center"/>
          </w:tcPr>
          <w:p/>
        </w:tc>
        <w:tc>
          <w:tcPr>
            <w:tcW w:w="4632" w:type="dxa"/>
            <w:vAlign w:val="center"/>
          </w:tcPr>
          <w:p>
            <w:pPr>
              <w:tabs>
                <w:tab w:val="left" w:pos="675"/>
              </w:tabs>
              <w:spacing w:line="28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其它蜂产品</w:t>
            </w:r>
          </w:p>
        </w:tc>
        <w:tc>
          <w:tcPr>
            <w:tcW w:w="1452" w:type="dxa"/>
            <w:vAlign w:val="center"/>
          </w:tcPr>
          <w:p>
            <w:pPr>
              <w:spacing w:line="28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/>
                <w:sz w:val="24"/>
              </w:rPr>
              <w:t>III</w:t>
            </w:r>
            <w:r>
              <w:rPr>
                <w:rFonts w:ascii="方正仿宋简体" w:eastAsia="方正仿宋简体" w:hint="eastAsia"/>
                <w:sz w:val="24"/>
              </w:rPr>
              <w:t>级</w:t>
            </w:r>
          </w:p>
        </w:tc>
        <w:tc>
          <w:tcPr>
            <w:tcW w:w="5942" w:type="dxa"/>
            <w:vAlign w:val="center"/>
          </w:tcPr>
          <w:p>
            <w:pPr>
              <w:spacing w:line="28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输出国家或地区监管体系评估；进境时查验检疫证书并实施检验检疫。</w:t>
            </w:r>
          </w:p>
        </w:tc>
      </w:tr>
      <w:tr>
        <w:tc>
          <w:tcPr>
            <w:tcW w:w="1752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水产品</w:t>
            </w:r>
          </w:p>
        </w:tc>
        <w:tc>
          <w:tcPr>
            <w:tcW w:w="4632" w:type="dxa"/>
            <w:vAlign w:val="center"/>
          </w:tcPr>
          <w:p>
            <w:pPr>
              <w:spacing w:line="28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未经加工或经初级加工的水产品及虾壳、蟹壳、蚌壳等水生动物副产品</w:t>
            </w:r>
          </w:p>
        </w:tc>
        <w:tc>
          <w:tcPr>
            <w:tcW w:w="1452" w:type="dxa"/>
            <w:vAlign w:val="center"/>
          </w:tcPr>
          <w:p>
            <w:pPr>
              <w:spacing w:line="28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/>
                <w:sz w:val="24"/>
              </w:rPr>
              <w:t>II</w:t>
            </w:r>
            <w:r>
              <w:rPr>
                <w:rFonts w:ascii="方正仿宋简体" w:eastAsia="方正仿宋简体" w:hint="eastAsia"/>
                <w:sz w:val="24"/>
              </w:rPr>
              <w:t>级</w:t>
            </w:r>
          </w:p>
        </w:tc>
        <w:tc>
          <w:tcPr>
            <w:tcW w:w="5942" w:type="dxa"/>
            <w:vAlign w:val="center"/>
          </w:tcPr>
          <w:p>
            <w:pPr>
              <w:spacing w:line="28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输出国家或地区监管体系评估，境外生产加工存放企业注册登记；进境前须办理《进境动植物检疫许可证》；进境时查验检疫证书并实施检验检疫。</w:t>
            </w:r>
            <w:r>
              <w:rPr>
                <w:rFonts w:ascii="方正仿宋简体" w:eastAsia="方正仿宋简体"/>
                <w:sz w:val="24"/>
              </w:rPr>
              <w:t xml:space="preserve"> </w:t>
            </w:r>
          </w:p>
        </w:tc>
      </w:tr>
      <w:tr>
        <w:tc>
          <w:tcPr>
            <w:tcW w:w="1752" w:type="dxa"/>
            <w:vMerge/>
            <w:vAlign w:val="center"/>
          </w:tcPr>
          <w:p/>
        </w:tc>
        <w:tc>
          <w:tcPr>
            <w:tcW w:w="4632" w:type="dxa"/>
            <w:vAlign w:val="center"/>
          </w:tcPr>
          <w:p>
            <w:pPr>
              <w:spacing w:line="28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鱼类的皮、鳞、油脂</w:t>
            </w:r>
          </w:p>
        </w:tc>
        <w:tc>
          <w:tcPr>
            <w:tcW w:w="1452" w:type="dxa"/>
            <w:vAlign w:val="center"/>
          </w:tcPr>
          <w:p>
            <w:pPr>
              <w:spacing w:line="28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/>
                <w:sz w:val="24"/>
              </w:rPr>
              <w:t>III</w:t>
            </w:r>
            <w:r>
              <w:rPr>
                <w:rFonts w:ascii="方正仿宋简体" w:eastAsia="方正仿宋简体" w:hint="eastAsia"/>
                <w:sz w:val="24"/>
              </w:rPr>
              <w:t>级</w:t>
            </w:r>
          </w:p>
        </w:tc>
        <w:tc>
          <w:tcPr>
            <w:tcW w:w="5942" w:type="dxa"/>
            <w:vAlign w:val="center"/>
          </w:tcPr>
          <w:p>
            <w:pPr>
              <w:spacing w:line="28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输出国家或地区监管体系评估，境外生产加工存放企业注册登记；进境时查验检疫证书并实施检验检疫。</w:t>
            </w:r>
          </w:p>
        </w:tc>
      </w:tr>
      <w:tr>
        <w:tc>
          <w:tcPr>
            <w:tcW w:w="1752" w:type="dxa"/>
            <w:vMerge/>
            <w:vAlign w:val="center"/>
          </w:tcPr>
          <w:p/>
        </w:tc>
        <w:tc>
          <w:tcPr>
            <w:tcW w:w="4632" w:type="dxa"/>
            <w:vAlign w:val="center"/>
          </w:tcPr>
          <w:p>
            <w:pPr>
              <w:spacing w:line="28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鱼类的骨；经加工处理的贝壳、虾壳、蟹壳等水生动物副产品；珊瑚及其制品；珍珠及其制品；天然海绵及其制品</w:t>
            </w:r>
          </w:p>
        </w:tc>
        <w:tc>
          <w:tcPr>
            <w:tcW w:w="1452" w:type="dxa"/>
            <w:vAlign w:val="center"/>
          </w:tcPr>
          <w:p>
            <w:pPr>
              <w:spacing w:line="28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Ⅳ级</w:t>
            </w:r>
          </w:p>
        </w:tc>
        <w:tc>
          <w:tcPr>
            <w:tcW w:w="5942" w:type="dxa"/>
            <w:vAlign w:val="center"/>
          </w:tcPr>
          <w:p>
            <w:pPr>
              <w:spacing w:line="28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进境时实施检验检疫。</w:t>
            </w:r>
          </w:p>
        </w:tc>
      </w:tr>
      <w:tr>
        <w:tc>
          <w:tcPr>
            <w:tcW w:w="1752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其他非食用动物产品</w:t>
            </w:r>
          </w:p>
        </w:tc>
        <w:tc>
          <w:tcPr>
            <w:tcW w:w="4632" w:type="dxa"/>
            <w:vAlign w:val="center"/>
          </w:tcPr>
          <w:p>
            <w:pPr>
              <w:spacing w:line="28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未经加工或经初级加工的动物内脏、组织和消化液</w:t>
            </w:r>
          </w:p>
        </w:tc>
        <w:tc>
          <w:tcPr>
            <w:tcW w:w="1452" w:type="dxa"/>
            <w:vAlign w:val="center"/>
          </w:tcPr>
          <w:p>
            <w:pPr>
              <w:spacing w:line="28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/>
                <w:sz w:val="24"/>
              </w:rPr>
              <w:t>I</w:t>
            </w:r>
            <w:r>
              <w:rPr>
                <w:rFonts w:ascii="方正仿宋简体" w:eastAsia="方正仿宋简体" w:hint="eastAsia"/>
                <w:sz w:val="24"/>
              </w:rPr>
              <w:t>级</w:t>
            </w:r>
          </w:p>
        </w:tc>
        <w:tc>
          <w:tcPr>
            <w:tcW w:w="5942" w:type="dxa"/>
            <w:vAlign w:val="center"/>
          </w:tcPr>
          <w:p>
            <w:pPr>
              <w:spacing w:line="28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输出国家或地区监管体系评估，境外生产加工存放企业注册登记；进境前须办理《进境动植物检疫许可证》；进境时查验检疫证书并实施检验检疫；进境后在指定企业存放、加工并接受检验检疫监督。</w:t>
            </w:r>
          </w:p>
        </w:tc>
      </w:tr>
      <w:tr>
        <w:tc>
          <w:tcPr>
            <w:tcW w:w="1752" w:type="dxa"/>
            <w:vMerge/>
            <w:vAlign w:val="center"/>
          </w:tcPr>
          <w:p/>
        </w:tc>
        <w:tc>
          <w:tcPr>
            <w:tcW w:w="4632" w:type="dxa"/>
            <w:vAlign w:val="center"/>
          </w:tcPr>
          <w:p>
            <w:pPr>
              <w:spacing w:line="28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动物源性肥料，非</w:t>
            </w:r>
            <w:r>
              <w:rPr>
                <w:rFonts w:ascii="方正仿宋简体" w:eastAsia="方正仿宋简体"/>
                <w:sz w:val="24"/>
              </w:rPr>
              <w:t>BSE</w:t>
            </w:r>
            <w:r>
              <w:rPr>
                <w:rFonts w:ascii="方正仿宋简体" w:eastAsia="方正仿宋简体" w:hint="eastAsia"/>
                <w:sz w:val="24"/>
              </w:rPr>
              <w:t>风险可忽略国家或地区的牛羊源性骨胶</w:t>
            </w:r>
          </w:p>
        </w:tc>
        <w:tc>
          <w:tcPr>
            <w:tcW w:w="1452" w:type="dxa"/>
            <w:vAlign w:val="center"/>
          </w:tcPr>
          <w:p>
            <w:pPr>
              <w:spacing w:line="28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/>
                <w:sz w:val="24"/>
              </w:rPr>
              <w:t>II</w:t>
            </w:r>
            <w:r>
              <w:rPr>
                <w:rFonts w:ascii="方正仿宋简体" w:eastAsia="方正仿宋简体" w:hint="eastAsia"/>
                <w:sz w:val="24"/>
              </w:rPr>
              <w:t>级</w:t>
            </w:r>
          </w:p>
        </w:tc>
        <w:tc>
          <w:tcPr>
            <w:tcW w:w="5942" w:type="dxa"/>
            <w:vAlign w:val="center"/>
          </w:tcPr>
          <w:p>
            <w:pPr>
              <w:spacing w:line="28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输出国家或地区监管体系评估，境外生产加工存放企业注册登记；进境前须办理《进境动植物检疫许可证》；进境时查验检疫证书并实施检验检疫。</w:t>
            </w:r>
          </w:p>
        </w:tc>
      </w:tr>
      <w:tr>
        <w:tc>
          <w:tcPr>
            <w:tcW w:w="1752" w:type="dxa"/>
            <w:vMerge/>
            <w:vAlign w:val="center"/>
          </w:tcPr>
          <w:p/>
        </w:tc>
        <w:tc>
          <w:tcPr>
            <w:tcW w:w="4632" w:type="dxa"/>
            <w:vAlign w:val="center"/>
          </w:tcPr>
          <w:p>
            <w:pPr>
              <w:spacing w:line="28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干酪素等经深加工或提炼的奶源性产品，硫酸软骨素、磷酸二氢钙、胆盐等经过深加工或提炼后的动物源性副产品，其他动物源性明胶（不含非</w:t>
            </w:r>
            <w:r>
              <w:rPr>
                <w:rFonts w:ascii="方正仿宋简体" w:eastAsia="方正仿宋简体"/>
                <w:sz w:val="24"/>
              </w:rPr>
              <w:t>BSE</w:t>
            </w:r>
            <w:r>
              <w:rPr>
                <w:rFonts w:ascii="方正仿宋简体" w:eastAsia="方正仿宋简体" w:hint="eastAsia"/>
                <w:sz w:val="24"/>
              </w:rPr>
              <w:t>风险可忽略国家或地区牛羊源性骨胶）</w:t>
            </w:r>
          </w:p>
        </w:tc>
        <w:tc>
          <w:tcPr>
            <w:tcW w:w="1452" w:type="dxa"/>
            <w:vAlign w:val="center"/>
          </w:tcPr>
          <w:p>
            <w:pPr>
              <w:spacing w:line="28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/>
                <w:sz w:val="24"/>
              </w:rPr>
              <w:t>III</w:t>
            </w:r>
            <w:r>
              <w:rPr>
                <w:rFonts w:ascii="方正仿宋简体" w:eastAsia="方正仿宋简体" w:hint="eastAsia"/>
                <w:sz w:val="24"/>
              </w:rPr>
              <w:t>级</w:t>
            </w:r>
          </w:p>
        </w:tc>
        <w:tc>
          <w:tcPr>
            <w:tcW w:w="5942" w:type="dxa"/>
            <w:vAlign w:val="center"/>
          </w:tcPr>
          <w:p>
            <w:pPr>
              <w:spacing w:line="28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输出国家或地区监管体系评估，境外生产加工存放企业注册登记；进境时查验检疫证书并实施检验检疫。</w:t>
            </w:r>
          </w:p>
        </w:tc>
      </w:tr>
      <w:tr>
        <w:tc>
          <w:tcPr>
            <w:tcW w:w="1752" w:type="dxa"/>
            <w:vMerge/>
            <w:vAlign w:val="center"/>
          </w:tcPr>
          <w:p/>
        </w:tc>
        <w:tc>
          <w:tcPr>
            <w:tcW w:w="4632" w:type="dxa"/>
            <w:vAlign w:val="center"/>
          </w:tcPr>
          <w:p>
            <w:pPr>
              <w:spacing w:line="28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经化学变性处理的科研用动物组织、器官；科研用工业明胶</w:t>
            </w:r>
          </w:p>
        </w:tc>
        <w:tc>
          <w:tcPr>
            <w:tcW w:w="1452" w:type="dxa"/>
            <w:vAlign w:val="center"/>
          </w:tcPr>
          <w:p>
            <w:pPr>
              <w:spacing w:line="28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Ⅳ级</w:t>
            </w:r>
          </w:p>
        </w:tc>
        <w:tc>
          <w:tcPr>
            <w:tcW w:w="5942" w:type="dxa"/>
            <w:vAlign w:val="center"/>
          </w:tcPr>
          <w:p>
            <w:pPr>
              <w:spacing w:line="280" w:lineRule="exact"/>
              <w:ind w:firstLineChars="164" w:firstLine="363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进境时实施检验检疫。</w:t>
            </w:r>
          </w:p>
        </w:tc>
      </w:tr>
    </w:tbl>
    <w:p>
      <w:pPr>
        <w:spacing w:line="500" w:lineRule="exact"/>
        <w:ind w:firstLineChars="100" w:firstLine="222"/>
        <w:rPr>
          <w:rFonts w:ascii="方正仿宋简体" w:eastAsia="方正仿宋简体" w:cs="方正仿宋简体"/>
          <w:sz w:val="24"/>
        </w:rPr>
      </w:pPr>
      <w:r>
        <w:rPr>
          <w:rFonts w:ascii="方正仿宋简体" w:eastAsia="方正仿宋简体" w:cs="方正仿宋简体" w:hint="eastAsia"/>
          <w:sz w:val="24"/>
        </w:rPr>
        <w:t>备注：</w:t>
      </w:r>
    </w:p>
    <w:p>
      <w:pPr>
        <w:spacing w:line="500" w:lineRule="exact"/>
        <w:ind w:firstLineChars="100" w:firstLine="222"/>
        <w:rPr>
          <w:rFonts w:ascii="方正仿宋简体" w:eastAsia="方正仿宋简体"/>
          <w:sz w:val="24"/>
        </w:rPr>
      </w:pPr>
      <w:r>
        <w:rPr>
          <w:rFonts w:ascii="方正仿宋简体" w:eastAsia="方正仿宋简体"/>
          <w:sz w:val="24"/>
        </w:rPr>
        <w:fldChar w:fldCharType="begin"/>
      </w:r>
      <w:r>
        <w:rPr>
          <w:rFonts w:ascii="方正仿宋简体" w:eastAsia="方正仿宋简体"/>
          <w:sz w:val="24"/>
        </w:rPr>
        <w:instrText>= 1 \* GB3</w:instrText>
      </w:r>
      <w:r>
        <w:rPr>
          <w:rFonts w:ascii="方正仿宋简体" w:eastAsia="方正仿宋简体"/>
          <w:sz w:val="24"/>
        </w:rPr>
        <w:fldChar w:fldCharType="separate"/>
      </w:r>
      <w:r>
        <w:rPr>
          <w:rFonts w:ascii="方正仿宋简体" w:eastAsia="方正仿宋简体" w:hint="eastAsia"/>
          <w:sz w:val="24"/>
        </w:rPr>
        <w:t>①</w:t>
      </w:r>
      <w:r>
        <w:rPr>
          <w:rFonts w:ascii="方正仿宋简体" w:eastAsia="方正仿宋简体"/>
          <w:sz w:val="24"/>
        </w:rPr>
        <w:fldChar w:fldCharType="end"/>
      </w:r>
      <w:r>
        <w:rPr>
          <w:rFonts w:ascii="方正仿宋简体" w:eastAsia="方正仿宋简体"/>
          <w:sz w:val="24"/>
        </w:rPr>
        <w:t xml:space="preserve"> II</w:t>
      </w:r>
      <w:r>
        <w:rPr>
          <w:rFonts w:ascii="方正仿宋简体" w:eastAsia="方正仿宋简体" w:hint="eastAsia"/>
          <w:sz w:val="24"/>
        </w:rPr>
        <w:t>级风险及以下有关产品</w:t>
      </w:r>
      <w:r>
        <w:rPr>
          <w:rFonts w:ascii="方正仿宋简体" w:eastAsia="方正仿宋简体" w:cs="方正仿宋简体" w:hint="eastAsia"/>
          <w:sz w:val="24"/>
        </w:rPr>
        <w:t>不受口蹄疫、禽流感疫情限制。</w:t>
      </w:r>
    </w:p>
    <w:p>
      <w:pPr>
        <w:spacing w:line="500" w:lineRule="exact"/>
        <w:ind w:firstLineChars="100" w:firstLine="222"/>
        <w:rPr>
          <w:rFonts w:ascii="方正仿宋简体" w:eastAsia="方正仿宋简体"/>
          <w:sz w:val="24"/>
        </w:rPr>
      </w:pPr>
      <w:r>
        <w:rPr>
          <w:rFonts w:ascii="方正仿宋简体" w:eastAsia="方正仿宋简体"/>
          <w:sz w:val="24"/>
        </w:rPr>
        <w:fldChar w:fldCharType="begin"/>
      </w:r>
      <w:r>
        <w:rPr>
          <w:rFonts w:ascii="方正仿宋简体" w:eastAsia="方正仿宋简体"/>
          <w:sz w:val="24"/>
        </w:rPr>
        <w:instrText>= 2 \* GB3</w:instrText>
      </w:r>
      <w:r>
        <w:rPr>
          <w:rFonts w:ascii="方正仿宋简体" w:eastAsia="方正仿宋简体"/>
          <w:sz w:val="24"/>
        </w:rPr>
        <w:fldChar w:fldCharType="separate"/>
      </w:r>
      <w:r>
        <w:rPr>
          <w:rFonts w:ascii="方正仿宋简体" w:eastAsia="方正仿宋简体" w:hint="eastAsia"/>
          <w:sz w:val="24"/>
        </w:rPr>
        <w:t>②</w:t>
      </w:r>
      <w:r>
        <w:rPr>
          <w:rFonts w:ascii="方正仿宋简体" w:eastAsia="方正仿宋简体"/>
          <w:sz w:val="24"/>
        </w:rPr>
        <w:fldChar w:fldCharType="end"/>
      </w:r>
      <w:r>
        <w:rPr>
          <w:rFonts w:ascii="方正仿宋简体" w:eastAsia="方正仿宋简体"/>
          <w:sz w:val="24"/>
        </w:rPr>
        <w:t xml:space="preserve"> BSE</w:t>
      </w:r>
      <w:r>
        <w:rPr>
          <w:rFonts w:ascii="方正仿宋简体" w:eastAsia="方正仿宋简体" w:hint="eastAsia"/>
          <w:sz w:val="24"/>
        </w:rPr>
        <w:t>风险可忽略国家或地区由海关总署评估认定。</w:t>
      </w:r>
    </w:p>
    <w:p>
      <w:pPr>
        <w:spacing w:line="500" w:lineRule="exact"/>
        <w:ind w:firstLineChars="100" w:firstLine="222"/>
        <w:rPr>
          <w:rFonts w:ascii="方正仿宋简体" w:eastAsia="方正仿宋简体"/>
          <w:sz w:val="24"/>
        </w:rPr>
      </w:pPr>
      <w:r>
        <w:rPr>
          <w:rFonts w:ascii="方正仿宋简体" w:eastAsia="方正仿宋简体"/>
          <w:sz w:val="24"/>
        </w:rPr>
        <w:fldChar w:fldCharType="begin"/>
      </w:r>
      <w:r>
        <w:rPr>
          <w:rFonts w:ascii="方正仿宋简体" w:eastAsia="方正仿宋简体"/>
          <w:sz w:val="24"/>
        </w:rPr>
        <w:instrText>= 3 \* GB3</w:instrText>
      </w:r>
      <w:r>
        <w:rPr>
          <w:rFonts w:ascii="方正仿宋简体" w:eastAsia="方正仿宋简体"/>
          <w:sz w:val="24"/>
        </w:rPr>
        <w:fldChar w:fldCharType="separate"/>
      </w:r>
      <w:r>
        <w:rPr>
          <w:rFonts w:ascii="方正仿宋简体" w:eastAsia="方正仿宋简体" w:hint="eastAsia"/>
          <w:sz w:val="24"/>
        </w:rPr>
        <w:t>③</w:t>
      </w:r>
      <w:r>
        <w:rPr>
          <w:rFonts w:ascii="方正仿宋简体" w:eastAsia="方正仿宋简体"/>
          <w:sz w:val="24"/>
        </w:rPr>
        <w:fldChar w:fldCharType="end"/>
      </w:r>
      <w:r>
        <w:rPr>
          <w:rFonts w:ascii="方正仿宋简体" w:eastAsia="方正仿宋简体" w:hint="eastAsia"/>
          <w:sz w:val="24"/>
        </w:rPr>
        <w:t>有关产品界定：</w:t>
      </w:r>
    </w:p>
    <w:p>
      <w:pPr>
        <w:spacing w:line="500" w:lineRule="exact"/>
        <w:ind w:firstLineChars="100" w:firstLine="222"/>
        <w:rPr>
          <w:rFonts w:ascii="方正仿宋简体" w:eastAsia="方正仿宋简体"/>
          <w:sz w:val="24"/>
        </w:rPr>
      </w:pPr>
      <w:r>
        <w:rPr>
          <w:rFonts w:ascii="方正仿宋简体" w:eastAsia="方正仿宋简体" w:hint="eastAsia"/>
          <w:sz w:val="24"/>
        </w:rPr>
        <w:t>羊毛落毛指原毛经过高温和酸处理，特别是炭化去草过程后梳理下的断毛和散毛。</w:t>
      </w:r>
    </w:p>
    <w:p>
      <w:pPr>
        <w:spacing w:line="500" w:lineRule="exact"/>
        <w:ind w:firstLineChars="100" w:firstLine="222"/>
        <w:rPr>
          <w:rFonts w:ascii="方正仿宋简体" w:eastAsia="方正仿宋简体"/>
          <w:sz w:val="24"/>
        </w:rPr>
      </w:pPr>
      <w:r>
        <w:rPr>
          <w:rFonts w:ascii="方正仿宋简体" w:eastAsia="方正仿宋简体" w:hint="eastAsia"/>
          <w:sz w:val="24"/>
        </w:rPr>
        <w:t>长吐指桑蚕茧在缫丝过程中经索绪、理绪取下的乱丝加工成的绢纺原料。</w:t>
      </w:r>
    </w:p>
    <w:p>
      <w:pPr>
        <w:spacing w:line="500" w:lineRule="exact"/>
        <w:ind w:firstLineChars="100" w:firstLine="222"/>
        <w:rPr>
          <w:rFonts w:ascii="方正仿宋简体" w:eastAsia="方正仿宋简体"/>
          <w:sz w:val="24"/>
        </w:rPr>
      </w:pPr>
      <w:r>
        <w:rPr>
          <w:rFonts w:ascii="方正仿宋简体" w:eastAsia="方正仿宋简体" w:hint="eastAsia"/>
          <w:sz w:val="24"/>
        </w:rPr>
        <w:t>滞头指用桑蚕茧经过缫丝后剩下的蛹衬加工、整理成的绢纺原料。</w:t>
      </w:r>
    </w:p>
    <w:p>
      <w:pPr>
        <w:spacing w:line="500" w:lineRule="exact"/>
        <w:ind w:firstLineChars="100" w:firstLine="222"/>
        <w:rPr>
          <w:rFonts w:ascii="方正仿宋简体" w:eastAsia="方正仿宋简体"/>
          <w:sz w:val="24"/>
        </w:rPr>
      </w:pPr>
      <w:r>
        <w:rPr>
          <w:rFonts w:ascii="方正仿宋简体" w:eastAsia="方正仿宋简体" w:hint="eastAsia"/>
          <w:sz w:val="24"/>
        </w:rPr>
        <w:t>落绵指绢纺原料（长吐、滞头等）经精炼、圆梳抽取长纤维后剩余的短纤维。</w:t>
      </w:r>
    </w:p>
    <w:p>
      <w:pPr>
        <w:spacing w:line="500" w:lineRule="exact"/>
        <w:ind w:firstLineChars="100" w:firstLine="222"/>
        <w:rPr>
          <w:rFonts w:ascii="方正仿宋简体" w:eastAsia="方正仿宋简体"/>
          <w:sz w:val="24"/>
        </w:rPr>
      </w:pPr>
      <w:r>
        <w:rPr>
          <w:rFonts w:ascii="方正仿宋简体" w:eastAsia="方正仿宋简体" w:hint="eastAsia"/>
          <w:sz w:val="24"/>
        </w:rPr>
        <w:t>生丝指桑蚕茧缫丝（经</w:t>
      </w:r>
      <w:r>
        <w:rPr>
          <w:rFonts w:ascii="方正仿宋简体" w:eastAsia="方正仿宋简体"/>
          <w:sz w:val="24"/>
        </w:rPr>
        <w:t>80</w:t>
      </w:r>
      <w:r>
        <w:rPr>
          <w:rFonts w:ascii="方正仿宋简体" w:eastAsia="方正仿宋简体" w:hint="eastAsia"/>
          <w:sz w:val="24"/>
        </w:rPr>
        <w:t>℃温水煮丝等处理）后所得的产品。</w:t>
      </w:r>
    </w:p>
    <w:p>
      <w:pPr>
        <w:spacing w:line="500" w:lineRule="exact"/>
        <w:ind w:firstLineChars="100" w:firstLine="222"/>
        <w:rPr>
          <w:rFonts w:ascii="仿宋_GB2312" w:eastAsia="仿宋_GB2312"/>
          <w:sz w:val="24"/>
        </w:rPr>
      </w:pPr>
    </w:p>
    <w:sectPr>
      <w:footerReference w:type="default" r:id="rId2"/>
      <w:footerReference w:type="even" r:id="rId3"/>
      <w:pgSz w:w="16838" w:h="11906" w:orient="landscape"/>
      <w:pgMar w:top="1644" w:right="1701" w:bottom="1644" w:left="1701" w:header="851" w:footer="1418" w:gutter="0"/>
      <w:docGrid w:type="linesAndChars" w:linePitch="292" w:charSpace="-378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方正仿宋简体">
    <w:altName w:val="Arial Unicode MS"/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方正黑体简体">
    <w:altName w:val="黑体"/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楷体_GB2312">
    <w:altName w:val="楷体"/>
    <w:panose1 w:val="00000000000000000000"/>
    <w:charset w:val="86"/>
    <w:family w:val="modern"/>
    <w:pitch w:val="variable"/>
    <w:sig w:usb0="00000001" w:usb1="080E0000" w:usb2="00000010" w:usb3="00000000" w:csb0="00040000" w:csb1="00000000"/>
  </w:font>
  <w:font w:name="黑体">
    <w:panose1 w:val="02010609060101010101"/>
    <w:charset w:val="50"/>
    <w:family w:val="auto"/>
    <w:pitch w:val="variable"/>
    <w:sig w:usb0="800002BF" w:usb1="38CF7CFA" w:usb2="00000016" w:usb3="00000000" w:csb0="00040001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>
  <w:p>
    <w:pPr>
      <w:pStyle w:val="20"/>
      <w:framePr w:w="0" w:hRule="auto" w:wrap="around" w:vAnchor="text" w:hAnchor="margin" w:xAlign="outside" w:y="1" w:anchorLock="0"/>
      <w:tabs>
        <w:tab w:val="center" w:pos="4153"/>
        <w:tab w:val="right" w:pos="8306"/>
      </w:tabs>
      <w:rPr>
        <w:rStyle w:val="26"/>
        <w:rFonts w:ascii="宋体"/>
        <w:sz w:val="28"/>
        <w:szCs w:val="28"/>
      </w:rPr>
    </w:pPr>
    <w:r>
      <w:rPr>
        <w:rStyle w:val="26"/>
        <w:rFonts w:ascii="宋体"/>
        <w:sz w:val="28"/>
        <w:szCs w:val="28"/>
      </w:rPr>
      <w:t xml:space="preserve">— </w:t>
    </w:r>
    <w:r>
      <w:rPr>
        <w:rStyle w:val="26"/>
        <w:rFonts w:ascii="宋体"/>
        <w:sz w:val="28"/>
        <w:szCs w:val="28"/>
      </w:rPr>
      <w:fldChar w:fldCharType="begin"/>
    </w:r>
    <w:r>
      <w:rPr>
        <w:rStyle w:val="26"/>
        <w:rFonts w:ascii="宋体"/>
        <w:sz w:val="28"/>
        <w:szCs w:val="28"/>
      </w:rPr>
      <w:instrText xml:space="preserve">PAGE  </w:instrText>
    </w:r>
    <w:r>
      <w:rPr>
        <w:rStyle w:val="26"/>
        <w:rFonts w:ascii="宋体"/>
        <w:sz w:val="28"/>
        <w:szCs w:val="28"/>
      </w:rPr>
      <w:fldChar w:fldCharType="separate"/>
    </w:r>
    <w:r>
      <w:rPr>
        <w:rStyle w:val="26"/>
        <w:rFonts w:ascii="宋体"/>
        <w:sz w:val="28"/>
        <w:szCs w:val="28"/>
      </w:rPr>
      <w:t>1</w:t>
    </w:r>
    <w:r>
      <w:rPr>
        <w:rStyle w:val="26"/>
        <w:rFonts w:ascii="宋体"/>
        <w:sz w:val="28"/>
        <w:szCs w:val="28"/>
      </w:rPr>
      <w:fldChar w:fldCharType="end"/>
    </w:r>
    <w:r>
      <w:rPr>
        <w:rStyle w:val="26"/>
        <w:rFonts w:ascii="宋体"/>
        <w:sz w:val="28"/>
        <w:szCs w:val="28"/>
      </w:rPr>
      <w:t xml:space="preserve"> —</w:t>
    </w:r>
  </w:p>
  <w:p>
    <w:pPr>
      <w:pStyle w:val="20"/>
      <w:tabs>
        <w:tab w:val="center" w:pos="4153"/>
        <w:tab w:val="right" w:pos="8306"/>
      </w:tabs>
      <w:ind w:right="360" w:firstLine="360"/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>
  <w:p>
    <w:pPr>
      <w:pStyle w:val="20"/>
      <w:framePr w:w="0" w:hRule="auto" w:wrap="around" w:vAnchor="text" w:hAnchor="margin" w:xAlign="outside" w:y="1" w:anchorLock="0"/>
      <w:tabs>
        <w:tab w:val="center" w:pos="4153"/>
        <w:tab w:val="right" w:pos="8306"/>
      </w:tabs>
      <w:rPr>
        <w:rStyle w:val="26"/>
      </w:rPr>
    </w:pPr>
    <w:r>
      <w:rPr>
        <w:rStyle w:val="26"/>
      </w:rPr>
      <w:fldChar w:fldCharType="begin"/>
    </w:r>
    <w:r>
      <w:rPr>
        <w:rStyle w:val="26"/>
      </w:rPr>
      <w:instrText xml:space="preserve">PAGE  </w:instrText>
    </w:r>
    <w:r>
      <w:rPr>
        <w:rStyle w:val="26"/>
      </w:rPr>
      <w:fldChar w:fldCharType="separate"/>
    </w:r>
    <w:r>
      <w:rPr>
        <w:rStyle w:val="26"/>
      </w:rPr>
      <w:t>2</w:t>
    </w:r>
    <w:r>
      <w:rPr>
        <w:rStyle w:val="26"/>
      </w:rPr>
      <w:fldChar w:fldCharType="end"/>
    </w:r>
  </w:p>
  <w:p>
    <w:pPr>
      <w:pStyle w:val="20"/>
      <w:tabs>
        <w:tab w:val="center" w:pos="4153"/>
        <w:tab w:val="right" w:pos="8306"/>
      </w:tabs>
      <w:ind w:right="360" w:firstLine="360"/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efaultTabStop w:val="420"/>
  <w:drawingGridHorizontalSpacing w:val="0"/>
  <w:drawingGridVerticalSpacing w:val="14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savePreviewPicture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Body Text"/>
    <w:basedOn w:val="0"/>
    <w:pPr>
      <w:spacing w:after="120"/>
    </w:pPr>
  </w:style>
  <w:style w:type="paragraph" w:styleId="17">
    <w:name w:val="Body Text Indent"/>
    <w:basedOn w:val="0"/>
    <w:pPr>
      <w:spacing w:after="120"/>
      <w:ind w:leftChars="200" w:left="200"/>
    </w:pPr>
  </w:style>
  <w:style w:type="paragraph" w:styleId="18">
    <w:name w:val="Date"/>
    <w:basedOn w:val="0"/>
    <w:next w:val="0"/>
    <w:pPr>
      <w:ind w:leftChars="2500" w:left="2500"/>
    </w:pPr>
  </w:style>
  <w:style w:type="paragraph" w:styleId="19">
    <w:name w:val="Balloon Text"/>
    <w:basedOn w:val="0"/>
    <w:rPr>
      <w:sz w:val="18"/>
      <w:szCs w:val="18"/>
    </w:rPr>
  </w:style>
  <w:style w:type="paragraph" w:styleId="20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1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2">
    <w:name w:val="Body Text Indent 3"/>
    <w:basedOn w:val="0"/>
    <w:pPr>
      <w:spacing w:after="120"/>
      <w:ind w:leftChars="200" w:left="200"/>
    </w:pPr>
    <w:rPr>
      <w:sz w:val="16"/>
      <w:szCs w:val="16"/>
    </w:rPr>
  </w:style>
  <w:style w:type="paragraph" w:styleId="23">
    <w:name w:val="HTML Preformatted"/>
    <w:basedOn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cs="宋体"/>
      <w:kern w:val="0"/>
      <w:sz w:val="24"/>
    </w:rPr>
  </w:style>
  <w:style w:type="paragraph" w:styleId="24">
    <w:name w:val="Normal (Web)"/>
    <w:basedOn w:val="0"/>
    <w:pPr>
      <w:widowControl/>
      <w:spacing w:before="100" w:beforeAutospacing="1" w:after="100" w:afterAutospacing="1"/>
      <w:jc w:val="left"/>
    </w:pPr>
    <w:rPr>
      <w:rFonts w:ascii="宋体"/>
      <w:kern w:val="0"/>
      <w:sz w:val="24"/>
    </w:rPr>
  </w:style>
  <w:style w:type="character" w:styleId="25">
    <w:name w:val="Strong"/>
    <w:basedOn w:val="10"/>
    <w:rPr>
      <w:rFonts w:cs="Times New Roman"/>
      <w:b/>
    </w:rPr>
  </w:style>
  <w:style w:type="character" w:styleId="26">
    <w:name w:val="page number"/>
    <w:basedOn w:val="10"/>
    <w:rPr>
      <w:rFonts w:cs="Times New Roman"/>
    </w:rPr>
  </w:style>
  <w:style w:type="character" w:styleId="27">
    <w:name w:val="HTML Typewriter"/>
    <w:basedOn w:val="10"/>
    <w:rPr>
      <w:rFonts w:ascii="宋体" w:eastAsia="宋体" w:cs="Times New Roman"/>
      <w:sz w:val="18"/>
    </w:rPr>
  </w:style>
  <w:style w:type="character" w:styleId="28">
    <w:name w:val="Hyperlink"/>
    <w:basedOn w:val="10"/>
    <w:rPr>
      <w:rFonts w:cs="Times New Roman"/>
      <w:color w:val="0000FF"/>
      <w:u w:val="single"/>
    </w:rPr>
  </w:style>
  <w:style w:type="character" w:styleId="29">
    <w:name w:val="annotation reference"/>
    <w:basedOn w:val="10"/>
    <w:rPr>
      <w:rFonts w:cs="Times New Roman"/>
      <w:sz w:val="21"/>
    </w:rPr>
  </w:style>
  <w:style w:type="paragraph" w:customStyle="1" w:styleId="30">
    <w:name w:val="Char"/>
    <w:basedOn w:val="0"/>
    <w:pPr>
      <w:widowControl/>
      <w:spacing w:after="160" w:line="240" w:lineRule="exact"/>
      <w:jc w:val="left"/>
    </w:pPr>
    <w:rPr>
      <w:rFonts w:ascii="Verdana" w:eastAsia="楷体_GB2312" w:hAnsi="Verdana"/>
      <w:kern w:val="0"/>
      <w:sz w:val="18"/>
      <w:szCs w:val="20"/>
      <w:lang w:eastAsia="en-US"/>
    </w:rPr>
  </w:style>
  <w:style w:type="paragraph" w:customStyle="1" w:styleId="31">
    <w:name w:val="_Style 12"/>
    <w:basedOn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32">
    <w:name w:val="三级条标题"/>
    <w:basedOn w:val="0"/>
    <w:next w:val="0"/>
    <w:pPr>
      <w:widowControl/>
      <w:outlineLvl w:val="4"/>
    </w:pPr>
    <w:rPr>
      <w:rFonts w:ascii="黑体" w:eastAsia="黑体"/>
      <w:kern w:val="0"/>
      <w:szCs w:val="20"/>
    </w:rPr>
  </w:style>
  <w:style w:type="paragraph" w:customStyle="1" w:styleId="33">
    <w:name w:val="段"/>
    <w:pPr>
      <w:autoSpaceDE w:val="0"/>
      <w:autoSpaceDN w:val="0"/>
      <w:ind w:firstLineChars="200" w:firstLine="200"/>
      <w:jc w:val="both"/>
    </w:pPr>
    <w:rPr>
      <w:rFonts w:ascii="宋体" w:eastAsia="宋体" w:cs="Times New Roman"/>
      <w:kern w:val="0"/>
      <w:sz w:val="21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</TotalTime>
  <Application>Yozo_Office</Application>
  <Pages>4</Pages>
  <Words>2450</Words>
  <Characters>2497</Characters>
  <Lines>170</Lines>
  <Paragraphs>105</Paragraphs>
  <CharactersWithSpaces>2500</CharactersWithSpaces>
  <Company>Legend (Beijing) Limited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title>主题词：</dc:title>
  <dc:creator>wys/文印室/办公厅/aqsiq</dc:creator>
  <cp:lastModifiedBy>刘金龙</cp:lastModifiedBy>
  <cp:revision>2</cp:revision>
  <cp:lastPrinted>2009-08-31T02:35:00Z</cp:lastPrinted>
  <dcterms:created xsi:type="dcterms:W3CDTF">2018-05-30T02:37:00Z</dcterms:created>
  <dcterms:modified xsi:type="dcterms:W3CDTF">2018-05-30T02:51:58Z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2052-9.1.0.4569</vt:lpwstr>
  </property>
</Properties>
</file>